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883FD3" w14:paraId="665731E1" w14:textId="77777777" w:rsidTr="00554624">
        <w:tc>
          <w:tcPr>
            <w:tcW w:w="4889" w:type="dxa"/>
          </w:tcPr>
          <w:p w14:paraId="77045E64" w14:textId="77777777" w:rsidR="00883FD3" w:rsidRDefault="00554624" w:rsidP="00554624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1" layoutInCell="1" allowOverlap="0" wp14:anchorId="2F88DE51" wp14:editId="30C5A73D">
                  <wp:simplePos x="0" y="0"/>
                  <wp:positionH relativeFrom="page">
                    <wp:posOffset>0</wp:posOffset>
                  </wp:positionH>
                  <wp:positionV relativeFrom="page">
                    <wp:posOffset>-3810</wp:posOffset>
                  </wp:positionV>
                  <wp:extent cx="2160000" cy="1141200"/>
                  <wp:effectExtent l="0" t="0" r="0" b="1905"/>
                  <wp:wrapTight wrapText="bothSides">
                    <wp:wrapPolygon edited="0">
                      <wp:start x="0" y="0"/>
                      <wp:lineTo x="0" y="21275"/>
                      <wp:lineTo x="21340" y="21275"/>
                      <wp:lineTo x="21340" y="0"/>
                      <wp:lineTo x="0" y="0"/>
                    </wp:wrapPolygon>
                  </wp:wrapTight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CAS2-RF-AE-CourtNB-381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14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89" w:type="dxa"/>
          </w:tcPr>
          <w:p w14:paraId="7DA60D3F" w14:textId="5C374BF9" w:rsidR="00883FD3" w:rsidRDefault="00883FD3" w:rsidP="00F61DE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3A2178A7" w14:textId="77777777" w:rsidR="00265C37" w:rsidRPr="00A80A17" w:rsidRDefault="00265C37" w:rsidP="006816D8">
      <w:pPr>
        <w:jc w:val="right"/>
        <w:rPr>
          <w:rFonts w:ascii="Arial" w:hAnsi="Arial"/>
          <w:sz w:val="20"/>
          <w:szCs w:val="20"/>
        </w:rPr>
      </w:pPr>
    </w:p>
    <w:p w14:paraId="311E786F" w14:textId="77777777" w:rsidR="00542713" w:rsidRPr="00A80A17" w:rsidRDefault="00542713" w:rsidP="004D1C0F">
      <w:pPr>
        <w:rPr>
          <w:rFonts w:ascii="Arial" w:hAnsi="Arial"/>
          <w:sz w:val="20"/>
          <w:szCs w:val="20"/>
        </w:rPr>
      </w:pPr>
    </w:p>
    <w:p w14:paraId="78FF0506" w14:textId="7A5974E2" w:rsidR="003819AF" w:rsidRPr="00A80A17" w:rsidRDefault="005B02E1" w:rsidP="00883FD3">
      <w:pPr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40"/>
          <w:szCs w:val="40"/>
        </w:rPr>
        <w:t>Bornes par paramètres et par stations</w:t>
      </w:r>
    </w:p>
    <w:p w14:paraId="6A70BB0D" w14:textId="77777777" w:rsidR="00304D4F" w:rsidRPr="00A80A17" w:rsidRDefault="00304D4F" w:rsidP="004D1C0F">
      <w:pPr>
        <w:rPr>
          <w:rFonts w:ascii="Arial" w:hAnsi="Arial"/>
          <w:sz w:val="20"/>
          <w:szCs w:val="20"/>
        </w:rPr>
      </w:pPr>
    </w:p>
    <w:p w14:paraId="01C4D5F1" w14:textId="77777777" w:rsidR="00304D4F" w:rsidRPr="00A80A17" w:rsidRDefault="00304D4F" w:rsidP="004D1C0F">
      <w:pPr>
        <w:rPr>
          <w:rFonts w:ascii="Arial" w:hAnsi="Arial"/>
          <w:sz w:val="20"/>
          <w:szCs w:val="20"/>
        </w:rPr>
      </w:pPr>
    </w:p>
    <w:p w14:paraId="77502775" w14:textId="77777777" w:rsidR="00304D4F" w:rsidRPr="00647421" w:rsidRDefault="00304D4F" w:rsidP="004D1C0F">
      <w:pPr>
        <w:jc w:val="center"/>
        <w:rPr>
          <w:rFonts w:ascii="Arial" w:hAnsi="Arial"/>
          <w:b/>
          <w:bCs/>
          <w:sz w:val="40"/>
          <w:szCs w:val="40"/>
        </w:rPr>
      </w:pPr>
    </w:p>
    <w:tbl>
      <w:tblPr>
        <w:tblStyle w:val="Grilledutableau"/>
        <w:tblpPr w:leftFromText="142" w:rightFromText="142" w:vertAnchor="page" w:horzAnchor="margin" w:tblpY="4957"/>
        <w:tblOverlap w:val="nev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170" w:type="dxa"/>
          <w:left w:w="0" w:type="dxa"/>
          <w:bottom w:w="17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9262"/>
      </w:tblGrid>
      <w:tr w:rsidR="00500DE0" w14:paraId="4E204706" w14:textId="77777777" w:rsidTr="001B0729">
        <w:trPr>
          <w:trHeight w:val="270"/>
        </w:trPr>
        <w:tc>
          <w:tcPr>
            <w:tcW w:w="359" w:type="pct"/>
            <w:tcBorders>
              <w:top w:val="single" w:sz="4" w:space="0" w:color="auto"/>
            </w:tcBorders>
            <w:tcMar>
              <w:top w:w="170" w:type="dxa"/>
              <w:left w:w="0" w:type="dxa"/>
              <w:bottom w:w="170" w:type="dxa"/>
              <w:right w:w="0" w:type="dxa"/>
            </w:tcMar>
          </w:tcPr>
          <w:p w14:paraId="2FC1EF6F" w14:textId="77777777" w:rsidR="00500DE0" w:rsidRDefault="00500DE0" w:rsidP="00883FD3">
            <w:pPr>
              <w:ind w:left="748" w:hanging="748"/>
              <w:rPr>
                <w:rFonts w:ascii="Arial" w:hAnsi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szCs w:val="20"/>
                <w:u w:val="single"/>
              </w:rPr>
              <w:t>Objet</w:t>
            </w:r>
            <w:r w:rsidRPr="005F7021">
              <w:rPr>
                <w:rFonts w:ascii="Arial" w:hAnsi="Arial"/>
                <w:sz w:val="20"/>
                <w:szCs w:val="20"/>
              </w:rPr>
              <w:t xml:space="preserve"> :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  <w:tc>
          <w:tcPr>
            <w:tcW w:w="4641" w:type="pct"/>
            <w:tcBorders>
              <w:top w:val="single" w:sz="4" w:space="0" w:color="auto"/>
            </w:tcBorders>
          </w:tcPr>
          <w:p w14:paraId="3E0B2F3F" w14:textId="19F841FA" w:rsidR="00500DE0" w:rsidRPr="00EC6A96" w:rsidRDefault="00F61DE7" w:rsidP="00883FD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définition des bornes par paramètres et par stations</w:t>
            </w:r>
          </w:p>
        </w:tc>
      </w:tr>
    </w:tbl>
    <w:p w14:paraId="56E98472" w14:textId="77777777" w:rsidR="00500DE0" w:rsidRDefault="00500DE0" w:rsidP="007529D2">
      <w:pPr>
        <w:tabs>
          <w:tab w:val="left" w:pos="8108"/>
          <w:tab w:val="left" w:pos="9324"/>
        </w:tabs>
        <w:rPr>
          <w:rFonts w:ascii="Arial" w:hAnsi="Arial"/>
          <w:sz w:val="16"/>
          <w:szCs w:val="16"/>
          <w:u w:val="single"/>
        </w:rPr>
      </w:pPr>
    </w:p>
    <w:p w14:paraId="578AF143" w14:textId="77777777" w:rsidR="00500DE0" w:rsidRDefault="00500DE0" w:rsidP="007529D2">
      <w:pPr>
        <w:tabs>
          <w:tab w:val="left" w:pos="8108"/>
          <w:tab w:val="left" w:pos="9324"/>
        </w:tabs>
        <w:rPr>
          <w:rFonts w:ascii="Arial" w:hAnsi="Arial"/>
          <w:sz w:val="20"/>
          <w:szCs w:val="20"/>
          <w:u w:val="single"/>
        </w:rPr>
      </w:pPr>
    </w:p>
    <w:p w14:paraId="5D3D3171" w14:textId="5D1D571A" w:rsidR="000A1D86" w:rsidRDefault="000A1D86" w:rsidP="007529D2">
      <w:pPr>
        <w:tabs>
          <w:tab w:val="left" w:pos="8108"/>
          <w:tab w:val="left" w:pos="9324"/>
        </w:tabs>
        <w:rPr>
          <w:rFonts w:ascii="Arial" w:hAnsi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1PR = borne improbable</w:t>
      </w:r>
    </w:p>
    <w:p w14:paraId="6074FE23" w14:textId="3FFCB1A1" w:rsidR="000A1D86" w:rsidRDefault="000A1D86" w:rsidP="007529D2">
      <w:pPr>
        <w:tabs>
          <w:tab w:val="left" w:pos="8108"/>
          <w:tab w:val="left" w:pos="9324"/>
        </w:tabs>
        <w:rPr>
          <w:rFonts w:ascii="Arial" w:hAnsi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1PO = borne impossible</w:t>
      </w:r>
    </w:p>
    <w:p w14:paraId="516D830F" w14:textId="77777777" w:rsidR="000A1D86" w:rsidRDefault="000A1D86" w:rsidP="007529D2">
      <w:pPr>
        <w:tabs>
          <w:tab w:val="left" w:pos="8108"/>
          <w:tab w:val="left" w:pos="9324"/>
        </w:tabs>
        <w:rPr>
          <w:rFonts w:ascii="Arial" w:hAnsi="Arial"/>
          <w:sz w:val="20"/>
          <w:szCs w:val="20"/>
          <w:u w:val="single"/>
        </w:rPr>
      </w:pPr>
    </w:p>
    <w:p w14:paraId="367AD056" w14:textId="77777777" w:rsidR="000A1D86" w:rsidRPr="00500DE0" w:rsidRDefault="000A1D86" w:rsidP="007529D2">
      <w:pPr>
        <w:tabs>
          <w:tab w:val="left" w:pos="8108"/>
          <w:tab w:val="left" w:pos="9324"/>
        </w:tabs>
        <w:rPr>
          <w:rFonts w:ascii="Arial" w:hAnsi="Arial"/>
          <w:sz w:val="20"/>
          <w:szCs w:val="20"/>
          <w:u w:val="single"/>
        </w:rPr>
      </w:pPr>
    </w:p>
    <w:p w14:paraId="08568E1B" w14:textId="73765449" w:rsidR="00F61DE7" w:rsidRDefault="00F61DE7" w:rsidP="00F61DE7">
      <w:pPr>
        <w:rPr>
          <w:u w:val="single"/>
        </w:rPr>
      </w:pPr>
      <w:r w:rsidRPr="00EB0ADF">
        <w:rPr>
          <w:u w:val="single"/>
        </w:rPr>
        <w:t xml:space="preserve">Détail du calcul des bornes par </w:t>
      </w:r>
      <w:proofErr w:type="gramStart"/>
      <w:r w:rsidRPr="00EB0ADF">
        <w:rPr>
          <w:u w:val="single"/>
        </w:rPr>
        <w:t>paramètres</w:t>
      </w:r>
      <w:r w:rsidR="00E45327">
        <w:rPr>
          <w:u w:val="single"/>
        </w:rPr>
        <w:t xml:space="preserve"> </w:t>
      </w:r>
      <w:r w:rsidR="00D805A1">
        <w:rPr>
          <w:u w:val="single"/>
        </w:rPr>
        <w:t xml:space="preserve"> pour</w:t>
      </w:r>
      <w:proofErr w:type="gramEnd"/>
      <w:r w:rsidR="00D805A1">
        <w:rPr>
          <w:u w:val="single"/>
        </w:rPr>
        <w:t xml:space="preserve"> les matrices eau et sédiments </w:t>
      </w:r>
    </w:p>
    <w:p w14:paraId="7B965176" w14:textId="77777777" w:rsidR="00F61DE7" w:rsidRPr="00EB0ADF" w:rsidRDefault="00F61DE7" w:rsidP="00F61DE7">
      <w:pPr>
        <w:rPr>
          <w:u w:val="single"/>
        </w:rPr>
      </w:pPr>
    </w:p>
    <w:p w14:paraId="50C009C9" w14:textId="3A5996BA" w:rsidR="00F61DE7" w:rsidRDefault="00F61DE7" w:rsidP="00F61DE7">
      <w:r>
        <w:t>Pour les macropolluants et ions majeurs</w:t>
      </w:r>
      <w:r w:rsidR="005B02E1">
        <w:t xml:space="preserve"> </w:t>
      </w:r>
      <w:r w:rsidR="00891722">
        <w:t xml:space="preserve">: </w:t>
      </w:r>
    </w:p>
    <w:p w14:paraId="72444FD7" w14:textId="77777777" w:rsidR="00891722" w:rsidRDefault="00891722" w:rsidP="00F61DE7"/>
    <w:p w14:paraId="41B7D38E" w14:textId="77777777" w:rsidR="00891722" w:rsidRDefault="00891722" w:rsidP="00F61DE7">
      <w:r>
        <w:t>Borne 1PO min = Q25 -3*(Q75-Q25)</w:t>
      </w:r>
    </w:p>
    <w:p w14:paraId="443BD084" w14:textId="77777777" w:rsidR="00891722" w:rsidRPr="000D0BF7" w:rsidRDefault="00891722" w:rsidP="00F61DE7">
      <w:pPr>
        <w:rPr>
          <w:b/>
        </w:rPr>
      </w:pPr>
      <w:r w:rsidRPr="000D0BF7">
        <w:rPr>
          <w:b/>
        </w:rPr>
        <w:t xml:space="preserve">Borne 1PR min = </w:t>
      </w:r>
      <w:r w:rsidR="00555388" w:rsidRPr="000D0BF7">
        <w:rPr>
          <w:rFonts w:ascii="Calibri" w:hAnsi="Calibri" w:cs="Calibri"/>
          <w:b/>
          <w:color w:val="000000"/>
        </w:rPr>
        <w:t>Q25 - 1,5* (Q75-Q25)</w:t>
      </w:r>
    </w:p>
    <w:p w14:paraId="45BB414D" w14:textId="77777777" w:rsidR="00891722" w:rsidRDefault="00891722" w:rsidP="00F61DE7">
      <w:r>
        <w:t>Borne 1PR max = Q75 +1,5*(Q75-Q25)</w:t>
      </w:r>
    </w:p>
    <w:p w14:paraId="3BC50FA6" w14:textId="01841DC8" w:rsidR="00891722" w:rsidRDefault="00891722" w:rsidP="00F61DE7">
      <w:r>
        <w:t xml:space="preserve">Borne 1PO max = </w:t>
      </w:r>
      <w:r w:rsidR="005B02E1">
        <w:t>à dire d’expert</w:t>
      </w:r>
    </w:p>
    <w:p w14:paraId="11F623A2" w14:textId="77777777" w:rsidR="00891722" w:rsidRDefault="00891722" w:rsidP="00F61DE7"/>
    <w:p w14:paraId="2AC1A68A" w14:textId="6A68C286" w:rsidR="00F61DE7" w:rsidRDefault="00F61DE7" w:rsidP="00F61DE7">
      <w:r>
        <w:t>Pour les micropolluants</w:t>
      </w:r>
      <w:r w:rsidR="005B02E1">
        <w:t xml:space="preserve"> </w:t>
      </w:r>
      <w:r>
        <w:t>:</w:t>
      </w:r>
    </w:p>
    <w:p w14:paraId="621EC7CF" w14:textId="77777777" w:rsidR="00F61DE7" w:rsidRDefault="00F61DE7" w:rsidP="00F61DE7"/>
    <w:p w14:paraId="51E43B92" w14:textId="77777777" w:rsidR="00F61DE7" w:rsidRPr="00EB0ADF" w:rsidRDefault="00F61DE7" w:rsidP="00F61DE7">
      <w:pPr>
        <w:rPr>
          <w:b/>
        </w:rPr>
      </w:pPr>
      <w:r w:rsidRPr="00EB0ADF">
        <w:rPr>
          <w:b/>
        </w:rPr>
        <w:t>Borne 1PO min = LQ min / 10</w:t>
      </w:r>
    </w:p>
    <w:p w14:paraId="3BCE350B" w14:textId="77777777" w:rsidR="00F61DE7" w:rsidRPr="00EB0ADF" w:rsidRDefault="00F61DE7" w:rsidP="00F61DE7">
      <w:pPr>
        <w:rPr>
          <w:b/>
        </w:rPr>
      </w:pPr>
      <w:r w:rsidRPr="00EB0ADF">
        <w:rPr>
          <w:b/>
        </w:rPr>
        <w:t>Borne 1PR min = LQ min</w:t>
      </w:r>
    </w:p>
    <w:p w14:paraId="70D5BB23" w14:textId="7CA03412" w:rsidR="00F61DE7" w:rsidRPr="00E92242" w:rsidRDefault="00F61DE7" w:rsidP="00F61DE7">
      <w:r w:rsidRPr="00E92242">
        <w:t xml:space="preserve">Borne 1PR max = Q75 + </w:t>
      </w:r>
      <w:r w:rsidR="005B02E1">
        <w:t>3</w:t>
      </w:r>
      <w:r w:rsidRPr="00E92242">
        <w:t>* (Q75-Q25)</w:t>
      </w:r>
    </w:p>
    <w:p w14:paraId="52792D3E" w14:textId="1D743870" w:rsidR="00F61DE7" w:rsidRPr="005B02E1" w:rsidRDefault="00F61DE7" w:rsidP="00F61DE7">
      <w:pPr>
        <w:rPr>
          <w:b/>
          <w:bCs/>
          <w:sz w:val="22"/>
          <w:szCs w:val="22"/>
        </w:rPr>
      </w:pPr>
      <w:r w:rsidRPr="00EB0ADF">
        <w:rPr>
          <w:b/>
        </w:rPr>
        <w:t xml:space="preserve">Borne 1PO max = </w:t>
      </w:r>
      <w:r w:rsidR="005B02E1">
        <w:rPr>
          <w:b/>
          <w:bCs/>
        </w:rPr>
        <w:t>le plus haut entre la valeur max de la chronique et Q75 + 6* (Q75-Q25)</w:t>
      </w:r>
    </w:p>
    <w:p w14:paraId="0DC9835C" w14:textId="77777777" w:rsidR="00F61DE7" w:rsidRPr="00EB0ADF" w:rsidRDefault="00F61DE7" w:rsidP="00F61DE7">
      <w:pPr>
        <w:rPr>
          <w:b/>
        </w:rPr>
      </w:pPr>
    </w:p>
    <w:p w14:paraId="3C8D66A3" w14:textId="77777777" w:rsidR="00F61DE7" w:rsidRDefault="00F61DE7" w:rsidP="00F61DE7">
      <w:r>
        <w:t xml:space="preserve">-Pour les milieux plans d’eau et eaux souterraines, on applique les mêmes </w:t>
      </w:r>
      <w:r w:rsidR="00555388">
        <w:t>bornes</w:t>
      </w:r>
      <w:r>
        <w:t xml:space="preserve"> que pour cours d’eau</w:t>
      </w:r>
      <w:r w:rsidR="00555388">
        <w:t xml:space="preserve"> excepté pour les paramètres oxygènes pour les plans d’eau qui auront des bornes différentes</w:t>
      </w:r>
      <w:r>
        <w:t xml:space="preserve">. </w:t>
      </w:r>
    </w:p>
    <w:p w14:paraId="17A76025" w14:textId="2537C305" w:rsidR="00F61DE7" w:rsidRDefault="00F61DE7" w:rsidP="00F61DE7">
      <w:r>
        <w:t>-Pour tous les calculs, on remonte jusqu’à 2015 au niveau de la chronique</w:t>
      </w:r>
      <w:r w:rsidR="005B02E1">
        <w:t xml:space="preserve">. </w:t>
      </w:r>
    </w:p>
    <w:p w14:paraId="67416530" w14:textId="44A0B118" w:rsidR="00D805A1" w:rsidRDefault="00D805A1" w:rsidP="00F61DE7"/>
    <w:p w14:paraId="63B6C9E5" w14:textId="60228F5D" w:rsidR="00D805A1" w:rsidRDefault="00D805A1" w:rsidP="00F61DE7">
      <w:pPr>
        <w:rPr>
          <w:u w:val="single"/>
        </w:rPr>
      </w:pPr>
      <w:r w:rsidRPr="00EB0ADF">
        <w:rPr>
          <w:u w:val="single"/>
        </w:rPr>
        <w:t>Détail du calcul des bornes par paramètres</w:t>
      </w:r>
      <w:r>
        <w:rPr>
          <w:u w:val="single"/>
        </w:rPr>
        <w:t xml:space="preserve"> pour la matrice biote poisson (méthode IQR juillet 2022)</w:t>
      </w:r>
    </w:p>
    <w:p w14:paraId="32F02F4F" w14:textId="29E19B66" w:rsidR="00D805A1" w:rsidRDefault="00D805A1" w:rsidP="00F61DE7">
      <w:pPr>
        <w:rPr>
          <w:u w:val="single"/>
        </w:rPr>
      </w:pPr>
    </w:p>
    <w:p w14:paraId="26481ACD" w14:textId="77777777" w:rsidR="00D805A1" w:rsidRDefault="00D805A1" w:rsidP="00D805A1">
      <w:r>
        <w:t>Cas des résultats analytique en µg</w:t>
      </w:r>
      <w:proofErr w:type="gramStart"/>
      <w:r>
        <w:t>/(</w:t>
      </w:r>
      <w:proofErr w:type="gramEnd"/>
      <w:r>
        <w:t xml:space="preserve">kg poids frais) : </w:t>
      </w:r>
    </w:p>
    <w:p w14:paraId="3738ECC9" w14:textId="77777777" w:rsidR="00D805A1" w:rsidRDefault="00D805A1" w:rsidP="00D805A1">
      <w:r>
        <w:t>- 1POmin=LQ/10</w:t>
      </w:r>
    </w:p>
    <w:p w14:paraId="1DE0AB58" w14:textId="77777777" w:rsidR="00D805A1" w:rsidRDefault="00D805A1" w:rsidP="00D805A1">
      <w:r>
        <w:t>-1PRmin=LQ</w:t>
      </w:r>
    </w:p>
    <w:p w14:paraId="4F1A1E04" w14:textId="77777777" w:rsidR="00D805A1" w:rsidRDefault="00D805A1" w:rsidP="00D805A1">
      <w:r>
        <w:t xml:space="preserve">- 1PRmax : </w:t>
      </w:r>
    </w:p>
    <w:p w14:paraId="37FE717F" w14:textId="77777777" w:rsidR="00D805A1" w:rsidRDefault="00D805A1" w:rsidP="00D805A1">
      <w:r>
        <w:t xml:space="preserve">si valeurs quantifiées et valeur min différente de valeur max : </w:t>
      </w:r>
      <w:bookmarkStart w:id="0" w:name="_Hlk151626457"/>
      <w:r>
        <w:t xml:space="preserve">P75+1.5*(P75-P25) </w:t>
      </w:r>
      <w:bookmarkEnd w:id="0"/>
    </w:p>
    <w:p w14:paraId="3754DA26" w14:textId="77777777" w:rsidR="00D805A1" w:rsidRDefault="00D805A1" w:rsidP="00D805A1">
      <w:r>
        <w:t>si pas de valeurs quantifiées ou valeur min = valeur max : LQ*10</w:t>
      </w:r>
    </w:p>
    <w:p w14:paraId="4D41A272" w14:textId="77777777" w:rsidR="00D805A1" w:rsidRDefault="00D805A1" w:rsidP="00D805A1">
      <w:r>
        <w:t xml:space="preserve">-1POmax : </w:t>
      </w:r>
    </w:p>
    <w:p w14:paraId="6A01C38E" w14:textId="77777777" w:rsidR="00D805A1" w:rsidRDefault="00D805A1" w:rsidP="00D805A1">
      <w:r>
        <w:t xml:space="preserve">si valeurs quantifiées et valeur min différente de valeur max : P75+3*(P75-P25) </w:t>
      </w:r>
    </w:p>
    <w:p w14:paraId="60B81E1D" w14:textId="77777777" w:rsidR="00D805A1" w:rsidRDefault="00D805A1" w:rsidP="00D805A1">
      <w:r>
        <w:t>si pas de valeurs quantifiées ou valeur min = valeur max : LQ*100</w:t>
      </w:r>
    </w:p>
    <w:p w14:paraId="502C2FA3" w14:textId="77777777" w:rsidR="00D805A1" w:rsidRDefault="00D805A1" w:rsidP="00D805A1"/>
    <w:p w14:paraId="12681E39" w14:textId="122DCABF" w:rsidR="00D805A1" w:rsidRDefault="00D805A1" w:rsidP="00D805A1">
      <w:r>
        <w:t>Pour les résultats de mesures d'individues (+ paramètres en %)</w:t>
      </w:r>
    </w:p>
    <w:p w14:paraId="01C7C9B2" w14:textId="77777777" w:rsidR="00D805A1" w:rsidRDefault="00D805A1" w:rsidP="00D805A1"/>
    <w:p w14:paraId="1DA1254B" w14:textId="0A8848DF" w:rsidR="00D805A1" w:rsidRDefault="00D805A1" w:rsidP="00D805A1">
      <w:r>
        <w:t>- 1POmin = P25-3*(P75-P25) si &gt; 0 sinon valeur min /10</w:t>
      </w:r>
    </w:p>
    <w:p w14:paraId="35FDF5AB" w14:textId="0AA9C6C9" w:rsidR="00D805A1" w:rsidRDefault="00D805A1" w:rsidP="00D805A1">
      <w:r>
        <w:t>-1PRmin = P25-1.5*(P75-P25) si &gt; 0 sinon valeur min</w:t>
      </w:r>
    </w:p>
    <w:p w14:paraId="6AC67D48" w14:textId="77777777" w:rsidR="00D805A1" w:rsidRDefault="00D805A1" w:rsidP="00D805A1">
      <w:r>
        <w:t xml:space="preserve">-1PRmax = P75+1.5*(P75-P25) </w:t>
      </w:r>
    </w:p>
    <w:p w14:paraId="4F136109" w14:textId="5596E395" w:rsidR="00D805A1" w:rsidRDefault="00D805A1" w:rsidP="00D805A1">
      <w:r>
        <w:t>-1POmax = P75+3*(P75-P25)</w:t>
      </w:r>
    </w:p>
    <w:p w14:paraId="18A5BDB2" w14:textId="1B3EB386" w:rsidR="00013AC9" w:rsidRDefault="00013AC9" w:rsidP="00D805A1"/>
    <w:p w14:paraId="19C8BB93" w14:textId="6D428813" w:rsidR="00013AC9" w:rsidRDefault="00013AC9" w:rsidP="00013AC9">
      <w:pPr>
        <w:rPr>
          <w:u w:val="single"/>
        </w:rPr>
      </w:pPr>
      <w:r w:rsidRPr="00EB0ADF">
        <w:rPr>
          <w:u w:val="single"/>
        </w:rPr>
        <w:t>Détail du calcul des bornes par paramètres</w:t>
      </w:r>
      <w:r>
        <w:rPr>
          <w:u w:val="single"/>
        </w:rPr>
        <w:t xml:space="preserve"> pour la matrice biote gammares (méthode IQR janvier 2023)</w:t>
      </w:r>
    </w:p>
    <w:p w14:paraId="4F79D393" w14:textId="77777777" w:rsidR="00013AC9" w:rsidRDefault="00013AC9" w:rsidP="00D805A1"/>
    <w:p w14:paraId="40513747" w14:textId="77777777" w:rsidR="00013AC9" w:rsidRDefault="00013AC9" w:rsidP="00013AC9">
      <w:r>
        <w:t>Cas des résultats analytique en µg</w:t>
      </w:r>
      <w:proofErr w:type="gramStart"/>
      <w:r>
        <w:t>/(</w:t>
      </w:r>
      <w:proofErr w:type="gramEnd"/>
      <w:r>
        <w:t xml:space="preserve">kg poids frais) : </w:t>
      </w:r>
    </w:p>
    <w:p w14:paraId="06C272DE" w14:textId="5F1AF1CB" w:rsidR="00013AC9" w:rsidRDefault="00013AC9" w:rsidP="00013AC9">
      <w:bookmarkStart w:id="1" w:name="_Hlk151629401"/>
      <w:r>
        <w:t>- 1POmin=LQ/10</w:t>
      </w:r>
      <w:r w:rsidR="00AA0DAC">
        <w:t xml:space="preserve"> </w:t>
      </w:r>
      <w:r w:rsidR="00AA0DAC">
        <w:rPr>
          <w:color w:val="365F91"/>
          <w:lang w:eastAsia="en-US"/>
        </w:rPr>
        <w:t>(ou à défaut = 1PRmin IQR/10 ou = 1POmin IQR pour quelques paramètres)</w:t>
      </w:r>
    </w:p>
    <w:p w14:paraId="6CBD5A7B" w14:textId="434EDE6A" w:rsidR="00013AC9" w:rsidRDefault="00013AC9" w:rsidP="00013AC9">
      <w:r>
        <w:t>-1PRmin=LQ</w:t>
      </w:r>
      <w:r w:rsidR="00AA0DAC">
        <w:t xml:space="preserve"> </w:t>
      </w:r>
      <w:r w:rsidR="00AA0DAC">
        <w:rPr>
          <w:color w:val="365F91"/>
          <w:lang w:eastAsia="en-US"/>
        </w:rPr>
        <w:t xml:space="preserve">(ou égale à </w:t>
      </w:r>
      <w:r w:rsidR="00AA0DAC">
        <w:rPr>
          <w:b/>
          <w:bCs/>
          <w:color w:val="365F91"/>
          <w:lang w:eastAsia="en-US"/>
        </w:rPr>
        <w:t>1PRmin IQR = Q25 -1.5 * (Q75-Q25)</w:t>
      </w:r>
      <w:r w:rsidR="00AA0DAC">
        <w:rPr>
          <w:color w:val="365F91"/>
          <w:lang w:eastAsia="en-US"/>
        </w:rPr>
        <w:t xml:space="preserve"> ou dire d’expert)</w:t>
      </w:r>
    </w:p>
    <w:p w14:paraId="3745047D" w14:textId="77777777" w:rsidR="00013AC9" w:rsidRDefault="00013AC9" w:rsidP="00013AC9">
      <w:r>
        <w:t xml:space="preserve">- 1PRmax : </w:t>
      </w:r>
    </w:p>
    <w:p w14:paraId="3F1A25D8" w14:textId="318C57AA" w:rsidR="00AA0DAC" w:rsidRDefault="00013AC9" w:rsidP="00013AC9">
      <w:r>
        <w:t>si valeurs quantifiées et valeur min différente de valeur max : P75+1.5*(P75-P25)</w:t>
      </w:r>
      <w:r w:rsidR="00AA0DAC">
        <w:rPr>
          <w:color w:val="365F91"/>
          <w:lang w:eastAsia="en-US"/>
        </w:rPr>
        <w:t xml:space="preserve"> (ou à défaut = BBAC ou dire d’expert</w:t>
      </w:r>
    </w:p>
    <w:p w14:paraId="7A81318A" w14:textId="77777777" w:rsidR="00013AC9" w:rsidRDefault="00013AC9" w:rsidP="00013AC9">
      <w:r>
        <w:t>si pas de valeurs quantifiées ou valeur min = valeur max : LQ*10</w:t>
      </w:r>
    </w:p>
    <w:p w14:paraId="03BB423C" w14:textId="0FA74079" w:rsidR="00AA0DAC" w:rsidRPr="00B93FA2" w:rsidRDefault="00013AC9" w:rsidP="00B93FA2">
      <w:r>
        <w:t xml:space="preserve">-1POmax : </w:t>
      </w:r>
      <w:r w:rsidR="00AA0DAC" w:rsidRPr="00B93FA2">
        <w:rPr>
          <w:color w:val="365F91"/>
          <w:lang w:eastAsia="en-US"/>
        </w:rPr>
        <w:t xml:space="preserve">= vmax (ou à défaut max [vmax Pomax] ou à défaut </w:t>
      </w:r>
      <w:r w:rsidR="00AA0DAC" w:rsidRPr="00B93FA2">
        <w:rPr>
          <w:b/>
          <w:bCs/>
          <w:color w:val="365F91"/>
          <w:lang w:eastAsia="en-US"/>
        </w:rPr>
        <w:t>Q75 + 3* (Q75-Q25)</w:t>
      </w:r>
      <w:r w:rsidR="00AA0DAC" w:rsidRPr="00B93FA2">
        <w:rPr>
          <w:color w:val="365F91"/>
          <w:lang w:eastAsia="en-US"/>
        </w:rPr>
        <w:t xml:space="preserve"> ou dire d’expert)</w:t>
      </w:r>
    </w:p>
    <w:p w14:paraId="15C663FE" w14:textId="77777777" w:rsidR="00013AC9" w:rsidRDefault="00013AC9" w:rsidP="00013AC9">
      <w:r>
        <w:t xml:space="preserve">si valeurs quantifiées et valeur min différente de valeur max : P75+3*(P75-P25) </w:t>
      </w:r>
    </w:p>
    <w:p w14:paraId="76F6C144" w14:textId="3014F2FD" w:rsidR="00013AC9" w:rsidRDefault="00013AC9" w:rsidP="00013AC9">
      <w:r>
        <w:t>si pas de valeurs quantifiées ou valeur min = valeur max : LQ*100</w:t>
      </w:r>
    </w:p>
    <w:bookmarkEnd w:id="1"/>
    <w:p w14:paraId="2EBAAC41" w14:textId="105AFD0F" w:rsidR="00034470" w:rsidRDefault="00034470" w:rsidP="00013AC9"/>
    <w:p w14:paraId="15901A7C" w14:textId="75CFCC99" w:rsidR="00034470" w:rsidRDefault="00034470" w:rsidP="00034470">
      <w:pPr>
        <w:rPr>
          <w:u w:val="single"/>
        </w:rPr>
      </w:pPr>
      <w:r w:rsidRPr="00EB0ADF">
        <w:rPr>
          <w:u w:val="single"/>
        </w:rPr>
        <w:t>Détail du calcul des bornes par paramètres</w:t>
      </w:r>
      <w:r>
        <w:rPr>
          <w:u w:val="single"/>
        </w:rPr>
        <w:t xml:space="preserve"> </w:t>
      </w:r>
      <w:r w:rsidR="00271015">
        <w:rPr>
          <w:u w:val="single"/>
        </w:rPr>
        <w:t xml:space="preserve">et par station et paramètre </w:t>
      </w:r>
      <w:r>
        <w:rPr>
          <w:u w:val="single"/>
        </w:rPr>
        <w:t>pour la matrice biote gammares (méthode</w:t>
      </w:r>
      <w:r w:rsidR="00003777">
        <w:rPr>
          <w:u w:val="single"/>
        </w:rPr>
        <w:t>s</w:t>
      </w:r>
      <w:r>
        <w:rPr>
          <w:u w:val="single"/>
        </w:rPr>
        <w:t xml:space="preserve"> </w:t>
      </w:r>
      <w:r w:rsidR="00F47325">
        <w:rPr>
          <w:u w:val="single"/>
        </w:rPr>
        <w:t xml:space="preserve">LQ et </w:t>
      </w:r>
      <w:r>
        <w:rPr>
          <w:u w:val="single"/>
        </w:rPr>
        <w:t>IQR de novembre 2023)</w:t>
      </w:r>
    </w:p>
    <w:p w14:paraId="43274569" w14:textId="77777777" w:rsidR="00F47325" w:rsidRDefault="00F47325" w:rsidP="00034470">
      <w:pPr>
        <w:rPr>
          <w:u w:val="single"/>
        </w:rPr>
      </w:pPr>
    </w:p>
    <w:p w14:paraId="7ADBFCD3" w14:textId="77777777" w:rsidR="00F47325" w:rsidRDefault="00F47325" w:rsidP="00F47325">
      <w:pPr>
        <w:rPr>
          <w:u w:val="single"/>
        </w:rPr>
      </w:pPr>
      <w:r>
        <w:rPr>
          <w:u w:val="single"/>
        </w:rPr>
        <w:t>-&gt; 1POmin (LQ) = LQmin/100</w:t>
      </w:r>
    </w:p>
    <w:p w14:paraId="29C05C07" w14:textId="77777777" w:rsidR="00003777" w:rsidRDefault="00003777" w:rsidP="00003777">
      <w:pPr>
        <w:rPr>
          <w:u w:val="single"/>
        </w:rPr>
      </w:pPr>
      <w:r>
        <w:rPr>
          <w:u w:val="single"/>
        </w:rPr>
        <w:t>-&gt; 1PRmin (LQ) = LQmin/10</w:t>
      </w:r>
    </w:p>
    <w:p w14:paraId="313E17EA" w14:textId="337DEB95" w:rsidR="00F47325" w:rsidRDefault="00F47325" w:rsidP="00034470">
      <w:pPr>
        <w:rPr>
          <w:u w:val="single"/>
        </w:rPr>
      </w:pPr>
      <w:r>
        <w:rPr>
          <w:u w:val="single"/>
        </w:rPr>
        <w:t xml:space="preserve">-&gt; </w:t>
      </w:r>
      <w:r w:rsidRPr="00F47325">
        <w:rPr>
          <w:u w:val="single"/>
        </w:rPr>
        <w:t>1POminIQR</w:t>
      </w:r>
      <w:r>
        <w:rPr>
          <w:u w:val="single"/>
        </w:rPr>
        <w:t xml:space="preserve"> = </w:t>
      </w:r>
      <w:r>
        <w:t>P25-3*(P75-P25)</w:t>
      </w:r>
    </w:p>
    <w:p w14:paraId="1707F01F" w14:textId="40BEC6DF" w:rsidR="00F47325" w:rsidRDefault="00F47325" w:rsidP="00F47325">
      <w:pPr>
        <w:rPr>
          <w:u w:val="single"/>
        </w:rPr>
      </w:pPr>
      <w:r>
        <w:rPr>
          <w:u w:val="single"/>
        </w:rPr>
        <w:t xml:space="preserve">-&gt; </w:t>
      </w:r>
      <w:r w:rsidRPr="00F47325">
        <w:rPr>
          <w:u w:val="single"/>
        </w:rPr>
        <w:t>1P</w:t>
      </w:r>
      <w:r>
        <w:rPr>
          <w:u w:val="single"/>
        </w:rPr>
        <w:t>R</w:t>
      </w:r>
      <w:r w:rsidRPr="00F47325">
        <w:rPr>
          <w:u w:val="single"/>
        </w:rPr>
        <w:t>minIQR</w:t>
      </w:r>
      <w:r>
        <w:rPr>
          <w:u w:val="single"/>
        </w:rPr>
        <w:t xml:space="preserve"> = </w:t>
      </w:r>
      <w:r>
        <w:t>P25-1,5*(P75-P25)</w:t>
      </w:r>
    </w:p>
    <w:p w14:paraId="41340A63" w14:textId="3C665609" w:rsidR="00F47325" w:rsidRDefault="00003777" w:rsidP="00034470">
      <w:pPr>
        <w:rPr>
          <w:u w:val="single"/>
        </w:rPr>
      </w:pPr>
      <w:r>
        <w:rPr>
          <w:u w:val="single"/>
        </w:rPr>
        <w:t xml:space="preserve">-&gt; </w:t>
      </w:r>
      <w:r w:rsidR="00F47325">
        <w:rPr>
          <w:u w:val="single"/>
        </w:rPr>
        <w:t xml:space="preserve">1PRmaxIQR = </w:t>
      </w:r>
      <w:r w:rsidR="00F47325" w:rsidRPr="00F47325">
        <w:rPr>
          <w:u w:val="single"/>
        </w:rPr>
        <w:t>P75+1.5*(P75-P25)</w:t>
      </w:r>
    </w:p>
    <w:p w14:paraId="0C43E012" w14:textId="0801C302" w:rsidR="00F47325" w:rsidRDefault="00003777" w:rsidP="00034470">
      <w:pPr>
        <w:rPr>
          <w:u w:val="single"/>
        </w:rPr>
      </w:pPr>
      <w:r>
        <w:rPr>
          <w:u w:val="single"/>
        </w:rPr>
        <w:t xml:space="preserve">-&gt; </w:t>
      </w:r>
      <w:r w:rsidR="00F47325">
        <w:rPr>
          <w:u w:val="single"/>
        </w:rPr>
        <w:t xml:space="preserve">1POmaxIQR = </w:t>
      </w:r>
      <w:r w:rsidR="00F47325" w:rsidRPr="00F47325">
        <w:rPr>
          <w:u w:val="single"/>
        </w:rPr>
        <w:t>P75+</w:t>
      </w:r>
      <w:r w:rsidR="00F47325">
        <w:rPr>
          <w:u w:val="single"/>
        </w:rPr>
        <w:t>3</w:t>
      </w:r>
      <w:r w:rsidR="00F47325" w:rsidRPr="00F47325">
        <w:rPr>
          <w:u w:val="single"/>
        </w:rPr>
        <w:t>*(P75-P25</w:t>
      </w:r>
    </w:p>
    <w:p w14:paraId="4C037D63" w14:textId="5D1EB621" w:rsidR="00003777" w:rsidRDefault="00003777" w:rsidP="00003777">
      <w:pPr>
        <w:rPr>
          <w:u w:val="single"/>
        </w:rPr>
      </w:pPr>
      <w:r>
        <w:rPr>
          <w:u w:val="single"/>
        </w:rPr>
        <w:t>-&gt; 1PRmax (LQ) = LQmax*10</w:t>
      </w:r>
    </w:p>
    <w:p w14:paraId="32B60B63" w14:textId="563A0FE5" w:rsidR="00003777" w:rsidRDefault="00003777" w:rsidP="00003777">
      <w:pPr>
        <w:rPr>
          <w:u w:val="single"/>
        </w:rPr>
      </w:pPr>
      <w:r>
        <w:rPr>
          <w:u w:val="single"/>
        </w:rPr>
        <w:t>-&gt; 1POmax (LQ) = LQmax*100</w:t>
      </w:r>
    </w:p>
    <w:p w14:paraId="7A449B64" w14:textId="77777777" w:rsidR="00F47325" w:rsidRDefault="00F47325" w:rsidP="00034470">
      <w:pPr>
        <w:rPr>
          <w:u w:val="single"/>
        </w:rPr>
      </w:pPr>
    </w:p>
    <w:p w14:paraId="5E5EA91E" w14:textId="77777777" w:rsidR="008A7E2E" w:rsidRDefault="008A7E2E" w:rsidP="00F61DE7">
      <w:pPr>
        <w:rPr>
          <w:u w:val="single"/>
        </w:rPr>
      </w:pPr>
    </w:p>
    <w:p w14:paraId="708ACD78" w14:textId="5E279E2A" w:rsidR="00F61DE7" w:rsidRDefault="00F61DE7" w:rsidP="00F61DE7">
      <w:pPr>
        <w:rPr>
          <w:u w:val="single"/>
        </w:rPr>
      </w:pPr>
      <w:r w:rsidRPr="00EB0ADF">
        <w:rPr>
          <w:u w:val="single"/>
        </w:rPr>
        <w:t>Détail du calcul des bornes par stations</w:t>
      </w:r>
      <w:r w:rsidR="00E45327">
        <w:rPr>
          <w:u w:val="single"/>
        </w:rPr>
        <w:t xml:space="preserve"> toutes matrices</w:t>
      </w:r>
    </w:p>
    <w:p w14:paraId="17F9722D" w14:textId="77777777" w:rsidR="00F61DE7" w:rsidRPr="00EB0ADF" w:rsidRDefault="00F61DE7" w:rsidP="00F61DE7">
      <w:pPr>
        <w:rPr>
          <w:u w:val="single"/>
        </w:rPr>
      </w:pPr>
    </w:p>
    <w:p w14:paraId="579DEC4E" w14:textId="5C56C7A0" w:rsidR="00F61DE7" w:rsidRDefault="00F61DE7" w:rsidP="00F61DE7">
      <w:r>
        <w:t>Pour les macropolluants et ions majeurs</w:t>
      </w:r>
      <w:r w:rsidR="00891722">
        <w:t> :</w:t>
      </w:r>
    </w:p>
    <w:p w14:paraId="607F62DF" w14:textId="77777777" w:rsidR="00891722" w:rsidRDefault="00891722" w:rsidP="00F61DE7"/>
    <w:p w14:paraId="1200EC7E" w14:textId="77777777" w:rsidR="00891722" w:rsidRPr="00E92242" w:rsidRDefault="00891722" w:rsidP="00891722">
      <w:r w:rsidRPr="00E92242">
        <w:t>Borne station max = Q75 + 1,</w:t>
      </w:r>
      <w:r>
        <w:t>5</w:t>
      </w:r>
      <w:r w:rsidRPr="00E92242">
        <w:t>* (Q75-Q25)</w:t>
      </w:r>
    </w:p>
    <w:p w14:paraId="487D4B54" w14:textId="77777777" w:rsidR="00891722" w:rsidRPr="000D0BF7" w:rsidRDefault="00891722" w:rsidP="00F61DE7">
      <w:pPr>
        <w:rPr>
          <w:b/>
        </w:rPr>
      </w:pPr>
      <w:r w:rsidRPr="000D0BF7">
        <w:rPr>
          <w:b/>
        </w:rPr>
        <w:t xml:space="preserve">Borne station min = </w:t>
      </w:r>
      <w:r w:rsidR="00555388" w:rsidRPr="000D0BF7">
        <w:rPr>
          <w:b/>
        </w:rPr>
        <w:t>Q25 - 1,5* (Q75-Q25)</w:t>
      </w:r>
    </w:p>
    <w:p w14:paraId="09BFC024" w14:textId="77777777" w:rsidR="00891722" w:rsidRDefault="00891722" w:rsidP="00F61DE7"/>
    <w:p w14:paraId="1C3AEAC4" w14:textId="7D3EA9DE" w:rsidR="00F61DE7" w:rsidRDefault="00F61DE7" w:rsidP="00F61DE7">
      <w:r>
        <w:t>Pour les micropolluants</w:t>
      </w:r>
      <w:r w:rsidR="005B02E1">
        <w:t xml:space="preserve"> </w:t>
      </w:r>
      <w:r>
        <w:t>:</w:t>
      </w:r>
    </w:p>
    <w:p w14:paraId="1B4D11D6" w14:textId="77777777" w:rsidR="00F61DE7" w:rsidRDefault="00F61DE7" w:rsidP="00F61DE7"/>
    <w:p w14:paraId="76B1EDCB" w14:textId="77777777" w:rsidR="00F61DE7" w:rsidRPr="00E92242" w:rsidRDefault="00F61DE7" w:rsidP="00F61DE7">
      <w:r w:rsidRPr="00E92242">
        <w:t>Borne station max = Q75 + 1,</w:t>
      </w:r>
      <w:r w:rsidR="003272C8">
        <w:t>5</w:t>
      </w:r>
      <w:r w:rsidRPr="00E92242">
        <w:t>* (Q75-Q25)</w:t>
      </w:r>
    </w:p>
    <w:p w14:paraId="22FC87A6" w14:textId="77777777" w:rsidR="00F61DE7" w:rsidRPr="00EB0ADF" w:rsidRDefault="00F61DE7" w:rsidP="00F61DE7">
      <w:pPr>
        <w:rPr>
          <w:b/>
        </w:rPr>
      </w:pPr>
      <w:r w:rsidRPr="00EB0ADF">
        <w:rPr>
          <w:b/>
        </w:rPr>
        <w:t>Borne station min = LQ min</w:t>
      </w:r>
    </w:p>
    <w:p w14:paraId="4CECAB5E" w14:textId="77777777" w:rsidR="00F61DE7" w:rsidRDefault="00F61DE7" w:rsidP="00F61DE7"/>
    <w:p w14:paraId="2A445D8A" w14:textId="77777777" w:rsidR="00F61DE7" w:rsidRDefault="00F61DE7" w:rsidP="00F61DE7">
      <w:r>
        <w:t>-Pour les matrices poissons et gammares, il n’y a pas assez de données</w:t>
      </w:r>
      <w:r w:rsidR="004E6FD8">
        <w:t xml:space="preserve"> pour l’instant</w:t>
      </w:r>
      <w:r>
        <w:t xml:space="preserve"> pour calculer des bornes par station. </w:t>
      </w:r>
      <w:r w:rsidR="004E6FD8">
        <w:t xml:space="preserve">On conserve toutefois le principe de 5 valeurs pour définir les bornes ultérieurement. </w:t>
      </w:r>
    </w:p>
    <w:p w14:paraId="77F1BDF8" w14:textId="77777777" w:rsidR="00F61DE7" w:rsidRDefault="00F61DE7" w:rsidP="00F61DE7"/>
    <w:p w14:paraId="1011BC72" w14:textId="77777777" w:rsidR="00F61DE7" w:rsidRPr="003272C8" w:rsidRDefault="00F61DE7" w:rsidP="00F61DE7">
      <w:pPr>
        <w:rPr>
          <w:u w:val="single"/>
        </w:rPr>
      </w:pPr>
      <w:r w:rsidRPr="00EB0ADF">
        <w:rPr>
          <w:u w:val="single"/>
        </w:rPr>
        <w:t>Généralités</w:t>
      </w:r>
    </w:p>
    <w:p w14:paraId="137723E1" w14:textId="77777777" w:rsidR="00F61DE7" w:rsidRPr="003272C8" w:rsidRDefault="00F61DE7" w:rsidP="00F61DE7">
      <w:pPr>
        <w:rPr>
          <w:u w:val="single"/>
        </w:rPr>
      </w:pPr>
    </w:p>
    <w:p w14:paraId="5CA826A2" w14:textId="50B90378" w:rsidR="00F61DE7" w:rsidRDefault="00E45327" w:rsidP="00F61DE7">
      <w:r>
        <w:t>L</w:t>
      </w:r>
      <w:r w:rsidR="00F61DE7" w:rsidRPr="003272C8">
        <w:t>es bornes pa</w:t>
      </w:r>
      <w:r w:rsidR="008A7E2E" w:rsidRPr="003272C8">
        <w:t>r</w:t>
      </w:r>
      <w:r w:rsidR="00F61DE7" w:rsidRPr="003272C8">
        <w:t xml:space="preserve"> stations sont prioritaires aux 1PR des bornes par paramètres, les 1PO des bornes</w:t>
      </w:r>
      <w:r w:rsidR="008A7E2E" w:rsidRPr="003272C8">
        <w:t xml:space="preserve"> par paramètres </w:t>
      </w:r>
      <w:r w:rsidR="00F61DE7" w:rsidRPr="003272C8">
        <w:t xml:space="preserve">s’appliquant </w:t>
      </w:r>
      <w:r w:rsidR="00F61DE7">
        <w:t xml:space="preserve">dans tous les cas. </w:t>
      </w:r>
    </w:p>
    <w:p w14:paraId="0A1C5AA4" w14:textId="77777777" w:rsidR="00F61DE7" w:rsidRPr="003272C8" w:rsidRDefault="00F61DE7" w:rsidP="00F61DE7">
      <w:r>
        <w:t xml:space="preserve">Fréquence du calcul des bornes : une fois par an. </w:t>
      </w:r>
    </w:p>
    <w:p w14:paraId="7CCE015E" w14:textId="47DD0D5E" w:rsidR="00F61DE7" w:rsidRDefault="00F61DE7" w:rsidP="00F61DE7">
      <w:r w:rsidRPr="003272C8">
        <w:t>Période de calcul des bornes :</w:t>
      </w:r>
      <w:r w:rsidR="005B02E1">
        <w:t xml:space="preserve"> </w:t>
      </w:r>
      <w:r w:rsidRPr="003272C8">
        <w:t xml:space="preserve"> en février de chaque année. </w:t>
      </w:r>
    </w:p>
    <w:p w14:paraId="0656A1F3" w14:textId="7C4BE31A" w:rsidR="00E45327" w:rsidRDefault="00E45327" w:rsidP="00F61DE7">
      <w:r>
        <w:t>Nombre minimum de valeurs pour calculer es bornes : 12 sur matrice eau et 5 sur les autres matrices</w:t>
      </w:r>
    </w:p>
    <w:p w14:paraId="0654638B" w14:textId="3C95BD84" w:rsidR="00E45327" w:rsidRPr="003272C8" w:rsidRDefault="00E45327" w:rsidP="00F61DE7">
      <w:r>
        <w:lastRenderedPageBreak/>
        <w:t xml:space="preserve">Les anciennes bornes sont conservées si pas assez de valeurs et si elles existent. </w:t>
      </w:r>
    </w:p>
    <w:p w14:paraId="06177168" w14:textId="77777777" w:rsidR="00F61DE7" w:rsidRPr="003272C8" w:rsidRDefault="00F61DE7" w:rsidP="00F61DE7"/>
    <w:p w14:paraId="4C6658CE" w14:textId="3A31184A" w:rsidR="00F61DE7" w:rsidRDefault="00F61DE7" w:rsidP="00F61DE7">
      <w:r w:rsidRPr="003272C8">
        <w:t>liste des paramètres ions majeurs et macropolluants</w:t>
      </w:r>
      <w:r w:rsidR="005B02E1">
        <w:t xml:space="preserve"> et leur bornes 1PO max : </w:t>
      </w:r>
    </w:p>
    <w:p w14:paraId="0D69AF41" w14:textId="77777777" w:rsidR="003272C8" w:rsidRPr="003272C8" w:rsidRDefault="00F61DE7" w:rsidP="00F61DE7">
      <w:r w:rsidRPr="003272C8">
        <w:t>Tout le reste (existant et à venir) sera par défaut considéré comme m</w:t>
      </w:r>
      <w:r w:rsidR="008A7E2E" w:rsidRPr="003272C8">
        <w:t>i</w:t>
      </w:r>
      <w:r w:rsidRPr="003272C8">
        <w:t xml:space="preserve">cropolluants. </w:t>
      </w:r>
    </w:p>
    <w:p w14:paraId="2A7510FA" w14:textId="77777777" w:rsidR="00F61DE7" w:rsidRDefault="00F61DE7" w:rsidP="00F61DE7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88"/>
        <w:gridCol w:w="4002"/>
      </w:tblGrid>
      <w:tr w:rsidR="004B7F2F" w14:paraId="28199A5E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F1E09E" w14:textId="77777777" w:rsidR="004B7F2F" w:rsidRDefault="004B7F2F">
            <w:pPr>
              <w:pStyle w:val="NormalWeb"/>
              <w:spacing w:after="240" w:afterAutospacing="0"/>
            </w:pPr>
            <w:r>
              <w:rPr>
                <w:rStyle w:val="lev"/>
              </w:rPr>
              <w:t>Paramètres</w:t>
            </w:r>
          </w:p>
        </w:tc>
        <w:tc>
          <w:tcPr>
            <w:tcW w:w="0" w:type="auto"/>
            <w:vAlign w:val="center"/>
            <w:hideMark/>
          </w:tcPr>
          <w:p w14:paraId="0742D196" w14:textId="77777777" w:rsidR="004B7F2F" w:rsidRDefault="004B7F2F">
            <w:pPr>
              <w:pStyle w:val="NormalWeb"/>
              <w:spacing w:after="240" w:afterAutospacing="0"/>
            </w:pPr>
            <w:r>
              <w:rPr>
                <w:rStyle w:val="lev"/>
              </w:rPr>
              <w:t>Valeur impossible max à dire d’expert</w:t>
            </w:r>
          </w:p>
          <w:p w14:paraId="296F2635" w14:textId="77777777" w:rsidR="004B7F2F" w:rsidRDefault="004B7F2F">
            <w:pPr>
              <w:pStyle w:val="NormalWeb"/>
              <w:spacing w:after="240" w:afterAutospacing="0"/>
            </w:pPr>
            <w:r>
              <w:rPr>
                <w:rStyle w:val="lev"/>
              </w:rPr>
              <w:t>(mg/l toutes fractions)</w:t>
            </w:r>
          </w:p>
        </w:tc>
      </w:tr>
      <w:tr w:rsidR="004B7F2F" w14:paraId="25214CAB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43DD30" w14:textId="77777777" w:rsidR="004B7F2F" w:rsidRDefault="004B7F2F">
            <w:pPr>
              <w:pStyle w:val="NormalWeb"/>
              <w:spacing w:after="240" w:afterAutospacing="0"/>
            </w:pPr>
            <w:r>
              <w:t>Matières en suspension</w:t>
            </w:r>
          </w:p>
        </w:tc>
        <w:tc>
          <w:tcPr>
            <w:tcW w:w="0" w:type="auto"/>
            <w:vAlign w:val="center"/>
            <w:hideMark/>
          </w:tcPr>
          <w:p w14:paraId="3B8980DC" w14:textId="77777777" w:rsidR="004B7F2F" w:rsidRDefault="004B7F2F">
            <w:pPr>
              <w:pStyle w:val="NormalWeb"/>
              <w:spacing w:after="240" w:afterAutospacing="0"/>
            </w:pPr>
            <w:r>
              <w:t>500</w:t>
            </w:r>
          </w:p>
        </w:tc>
      </w:tr>
      <w:tr w:rsidR="004B7F2F" w14:paraId="3F27DE9F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987004F" w14:textId="77777777" w:rsidR="004B7F2F" w:rsidRDefault="004B7F2F">
            <w:pPr>
              <w:pStyle w:val="NormalWeb"/>
              <w:spacing w:after="240" w:afterAutospacing="0"/>
            </w:pPr>
            <w:r>
              <w:t>Demande Biochimique en oxygène en 5 jours (D.B.O.5)</w:t>
            </w:r>
          </w:p>
        </w:tc>
        <w:tc>
          <w:tcPr>
            <w:tcW w:w="0" w:type="auto"/>
            <w:vAlign w:val="center"/>
            <w:hideMark/>
          </w:tcPr>
          <w:p w14:paraId="1B23956B" w14:textId="77777777" w:rsidR="004B7F2F" w:rsidRDefault="004B7F2F">
            <w:pPr>
              <w:pStyle w:val="NormalWeb"/>
              <w:spacing w:after="240" w:afterAutospacing="0"/>
            </w:pPr>
            <w:r>
              <w:t>10</w:t>
            </w:r>
          </w:p>
        </w:tc>
      </w:tr>
      <w:tr w:rsidR="004B7F2F" w14:paraId="0B4E69F0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944ECD" w14:textId="77777777" w:rsidR="004B7F2F" w:rsidRDefault="004B7F2F">
            <w:pPr>
              <w:pStyle w:val="NormalWeb"/>
              <w:spacing w:after="240" w:afterAutospacing="0"/>
            </w:pPr>
            <w:r>
              <w:t>Demande Chimique en Oxygène (DCO)</w:t>
            </w:r>
          </w:p>
        </w:tc>
        <w:tc>
          <w:tcPr>
            <w:tcW w:w="0" w:type="auto"/>
            <w:vAlign w:val="center"/>
            <w:hideMark/>
          </w:tcPr>
          <w:p w14:paraId="0FA014E6" w14:textId="77777777" w:rsidR="004B7F2F" w:rsidRDefault="004B7F2F">
            <w:pPr>
              <w:pStyle w:val="NormalWeb"/>
              <w:spacing w:after="240" w:afterAutospacing="0"/>
            </w:pPr>
            <w:r>
              <w:t>100</w:t>
            </w:r>
          </w:p>
        </w:tc>
      </w:tr>
      <w:tr w:rsidR="004B7F2F" w14:paraId="58C658F8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42E05F" w14:textId="77777777" w:rsidR="004B7F2F" w:rsidRDefault="004B7F2F">
            <w:pPr>
              <w:pStyle w:val="NormalWeb"/>
              <w:spacing w:after="240" w:afterAutospacing="0"/>
            </w:pPr>
            <w:r>
              <w:t>Oxydabilité au KMnO4 à chaud en milieu acide</w:t>
            </w:r>
          </w:p>
        </w:tc>
        <w:tc>
          <w:tcPr>
            <w:tcW w:w="0" w:type="auto"/>
            <w:vAlign w:val="center"/>
            <w:hideMark/>
          </w:tcPr>
          <w:p w14:paraId="52A68197" w14:textId="77777777" w:rsidR="004B7F2F" w:rsidRDefault="004B7F2F">
            <w:pPr>
              <w:pStyle w:val="NormalWeb"/>
              <w:spacing w:after="240" w:afterAutospacing="0"/>
            </w:pPr>
            <w:r>
              <w:t>40</w:t>
            </w:r>
          </w:p>
        </w:tc>
      </w:tr>
      <w:tr w:rsidR="004B7F2F" w14:paraId="5E575586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4FF723" w14:textId="77777777" w:rsidR="004B7F2F" w:rsidRDefault="004B7F2F">
            <w:pPr>
              <w:pStyle w:val="NormalWeb"/>
              <w:spacing w:after="240" w:afterAutospacing="0"/>
            </w:pPr>
            <w:r>
              <w:t>Oxydabilité au KMnO4 à chaud en milieu alcalin</w:t>
            </w:r>
          </w:p>
        </w:tc>
        <w:tc>
          <w:tcPr>
            <w:tcW w:w="0" w:type="auto"/>
            <w:vAlign w:val="center"/>
            <w:hideMark/>
          </w:tcPr>
          <w:p w14:paraId="32C8D9C6" w14:textId="77777777" w:rsidR="004B7F2F" w:rsidRDefault="004B7F2F">
            <w:pPr>
              <w:pStyle w:val="NormalWeb"/>
              <w:spacing w:after="240" w:afterAutospacing="0"/>
            </w:pPr>
            <w:r>
              <w:t>20</w:t>
            </w:r>
          </w:p>
        </w:tc>
      </w:tr>
      <w:tr w:rsidR="004B7F2F" w14:paraId="124CFB42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778D24A" w14:textId="77777777" w:rsidR="004B7F2F" w:rsidRDefault="004B7F2F">
            <w:pPr>
              <w:pStyle w:val="NormalWeb"/>
              <w:spacing w:after="240" w:afterAutospacing="0"/>
            </w:pPr>
            <w:r>
              <w:t>Azote Kjeldahl</w:t>
            </w:r>
          </w:p>
        </w:tc>
        <w:tc>
          <w:tcPr>
            <w:tcW w:w="0" w:type="auto"/>
            <w:vAlign w:val="center"/>
            <w:hideMark/>
          </w:tcPr>
          <w:p w14:paraId="51284E34" w14:textId="77777777" w:rsidR="004B7F2F" w:rsidRDefault="004B7F2F">
            <w:pPr>
              <w:pStyle w:val="NormalWeb"/>
              <w:spacing w:after="240" w:afterAutospacing="0"/>
            </w:pPr>
            <w:r>
              <w:t>6</w:t>
            </w:r>
          </w:p>
        </w:tc>
      </w:tr>
      <w:tr w:rsidR="004B7F2F" w14:paraId="58C76AAC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4FC8B4" w14:textId="77777777" w:rsidR="004B7F2F" w:rsidRDefault="004B7F2F">
            <w:pPr>
              <w:pStyle w:val="NormalWeb"/>
              <w:spacing w:after="240" w:afterAutospacing="0"/>
            </w:pPr>
            <w:r>
              <w:t>Hydrogénocarbonates</w:t>
            </w:r>
          </w:p>
        </w:tc>
        <w:tc>
          <w:tcPr>
            <w:tcW w:w="0" w:type="auto"/>
            <w:vAlign w:val="center"/>
            <w:hideMark/>
          </w:tcPr>
          <w:p w14:paraId="45D35DEF" w14:textId="77777777" w:rsidR="004B7F2F" w:rsidRDefault="004B7F2F">
            <w:pPr>
              <w:pStyle w:val="NormalWeb"/>
              <w:spacing w:after="240" w:afterAutospacing="0"/>
            </w:pPr>
            <w:r>
              <w:t>800</w:t>
            </w:r>
          </w:p>
        </w:tc>
      </w:tr>
      <w:tr w:rsidR="004B7F2F" w14:paraId="25C7B5AA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5421F2" w14:textId="77777777" w:rsidR="004B7F2F" w:rsidRDefault="004B7F2F">
            <w:pPr>
              <w:pStyle w:val="NormalWeb"/>
              <w:spacing w:after="240" w:afterAutospacing="0"/>
            </w:pPr>
            <w:r>
              <w:t>Carbonates</w:t>
            </w:r>
          </w:p>
        </w:tc>
        <w:tc>
          <w:tcPr>
            <w:tcW w:w="0" w:type="auto"/>
            <w:vAlign w:val="center"/>
            <w:hideMark/>
          </w:tcPr>
          <w:p w14:paraId="37A73C79" w14:textId="77777777" w:rsidR="004B7F2F" w:rsidRDefault="004B7F2F">
            <w:pPr>
              <w:pStyle w:val="NormalWeb"/>
              <w:spacing w:after="240" w:afterAutospacing="0"/>
            </w:pPr>
            <w:r>
              <w:t>20</w:t>
            </w:r>
          </w:p>
        </w:tc>
      </w:tr>
      <w:tr w:rsidR="004B7F2F" w14:paraId="462BB197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910E13" w14:textId="77777777" w:rsidR="004B7F2F" w:rsidRDefault="004B7F2F">
            <w:pPr>
              <w:pStyle w:val="NormalWeb"/>
              <w:spacing w:after="240" w:afterAutospacing="0"/>
            </w:pPr>
            <w:r>
              <w:t>Ammonium</w:t>
            </w:r>
          </w:p>
        </w:tc>
        <w:tc>
          <w:tcPr>
            <w:tcW w:w="0" w:type="auto"/>
            <w:vAlign w:val="center"/>
            <w:hideMark/>
          </w:tcPr>
          <w:p w14:paraId="4CD5EE81" w14:textId="77777777" w:rsidR="004B7F2F" w:rsidRDefault="004B7F2F">
            <w:pPr>
              <w:pStyle w:val="NormalWeb"/>
              <w:spacing w:after="240" w:afterAutospacing="0"/>
            </w:pPr>
            <w:r>
              <w:t>80</w:t>
            </w:r>
          </w:p>
        </w:tc>
      </w:tr>
      <w:tr w:rsidR="004B7F2F" w14:paraId="3555F5FE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548C8D2" w14:textId="77777777" w:rsidR="004B7F2F" w:rsidRDefault="004B7F2F">
            <w:pPr>
              <w:pStyle w:val="NormalWeb"/>
              <w:spacing w:after="240" w:afterAutospacing="0"/>
            </w:pPr>
            <w:r>
              <w:t>Chlorures</w:t>
            </w:r>
          </w:p>
        </w:tc>
        <w:tc>
          <w:tcPr>
            <w:tcW w:w="0" w:type="auto"/>
            <w:vAlign w:val="center"/>
            <w:hideMark/>
          </w:tcPr>
          <w:p w14:paraId="244CE766" w14:textId="77777777" w:rsidR="004B7F2F" w:rsidRDefault="004B7F2F">
            <w:pPr>
              <w:pStyle w:val="NormalWeb"/>
              <w:spacing w:after="240" w:afterAutospacing="0"/>
            </w:pPr>
            <w:r>
              <w:t>190</w:t>
            </w:r>
          </w:p>
        </w:tc>
      </w:tr>
      <w:tr w:rsidR="004B7F2F" w14:paraId="2F5D7864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DCAE51E" w14:textId="77777777" w:rsidR="004B7F2F" w:rsidRDefault="004B7F2F">
            <w:pPr>
              <w:pStyle w:val="NormalWeb"/>
              <w:spacing w:after="240" w:afterAutospacing="0"/>
            </w:pPr>
            <w:r>
              <w:t>Sulfates</w:t>
            </w:r>
          </w:p>
        </w:tc>
        <w:tc>
          <w:tcPr>
            <w:tcW w:w="0" w:type="auto"/>
            <w:vAlign w:val="center"/>
            <w:hideMark/>
          </w:tcPr>
          <w:p w14:paraId="2BC4938E" w14:textId="77777777" w:rsidR="004B7F2F" w:rsidRDefault="004B7F2F">
            <w:pPr>
              <w:pStyle w:val="NormalWeb"/>
              <w:spacing w:after="240" w:afterAutospacing="0"/>
            </w:pPr>
            <w:r>
              <w:t>2500</w:t>
            </w:r>
          </w:p>
        </w:tc>
      </w:tr>
      <w:tr w:rsidR="004B7F2F" w14:paraId="21A20257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E06AF2" w14:textId="77777777" w:rsidR="004B7F2F" w:rsidRDefault="004B7F2F">
            <w:pPr>
              <w:pStyle w:val="NormalWeb"/>
              <w:spacing w:after="240" w:afterAutospacing="0"/>
            </w:pPr>
            <w:r>
              <w:t>Nitrites</w:t>
            </w:r>
          </w:p>
        </w:tc>
        <w:tc>
          <w:tcPr>
            <w:tcW w:w="0" w:type="auto"/>
            <w:vAlign w:val="center"/>
            <w:hideMark/>
          </w:tcPr>
          <w:p w14:paraId="4F739EDA" w14:textId="77777777" w:rsidR="004B7F2F" w:rsidRDefault="004B7F2F">
            <w:pPr>
              <w:pStyle w:val="NormalWeb"/>
              <w:spacing w:after="240" w:afterAutospacing="0"/>
            </w:pPr>
            <w:r>
              <w:t>10</w:t>
            </w:r>
          </w:p>
        </w:tc>
      </w:tr>
      <w:tr w:rsidR="004B7F2F" w14:paraId="241649D7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F4081B8" w14:textId="77777777" w:rsidR="004B7F2F" w:rsidRDefault="004B7F2F">
            <w:pPr>
              <w:pStyle w:val="NormalWeb"/>
              <w:spacing w:after="240" w:afterAutospacing="0"/>
            </w:pPr>
            <w:r>
              <w:t>Nitrates</w:t>
            </w:r>
          </w:p>
        </w:tc>
        <w:tc>
          <w:tcPr>
            <w:tcW w:w="0" w:type="auto"/>
            <w:vAlign w:val="center"/>
            <w:hideMark/>
          </w:tcPr>
          <w:p w14:paraId="48BD5FF0" w14:textId="77777777" w:rsidR="004B7F2F" w:rsidRDefault="004B7F2F">
            <w:pPr>
              <w:pStyle w:val="NormalWeb"/>
              <w:spacing w:after="240" w:afterAutospacing="0"/>
            </w:pPr>
            <w:r>
              <w:t>900</w:t>
            </w:r>
          </w:p>
        </w:tc>
      </w:tr>
      <w:tr w:rsidR="004B7F2F" w14:paraId="517CBC29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1B73CF" w14:textId="77777777" w:rsidR="004B7F2F" w:rsidRDefault="004B7F2F">
            <w:pPr>
              <w:pStyle w:val="NormalWeb"/>
              <w:spacing w:after="240" w:afterAutospacing="0"/>
            </w:pPr>
            <w:r>
              <w:t>Silicates</w:t>
            </w:r>
          </w:p>
        </w:tc>
        <w:tc>
          <w:tcPr>
            <w:tcW w:w="0" w:type="auto"/>
            <w:vAlign w:val="center"/>
            <w:hideMark/>
          </w:tcPr>
          <w:p w14:paraId="6636703D" w14:textId="77777777" w:rsidR="004B7F2F" w:rsidRDefault="004B7F2F">
            <w:pPr>
              <w:pStyle w:val="NormalWeb"/>
              <w:spacing w:after="240" w:afterAutospacing="0"/>
            </w:pPr>
            <w:r>
              <w:t>110</w:t>
            </w:r>
          </w:p>
        </w:tc>
      </w:tr>
      <w:tr w:rsidR="004B7F2F" w14:paraId="2EE3D7ED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94B4F3B" w14:textId="77777777" w:rsidR="004B7F2F" w:rsidRDefault="004B7F2F">
            <w:pPr>
              <w:pStyle w:val="NormalWeb"/>
              <w:spacing w:after="240" w:afterAutospacing="0"/>
            </w:pPr>
            <w:r>
              <w:t>Dureté totale en °f</w:t>
            </w:r>
          </w:p>
        </w:tc>
        <w:tc>
          <w:tcPr>
            <w:tcW w:w="0" w:type="auto"/>
            <w:vAlign w:val="center"/>
            <w:hideMark/>
          </w:tcPr>
          <w:p w14:paraId="192B5836" w14:textId="77777777" w:rsidR="004B7F2F" w:rsidRDefault="004B7F2F">
            <w:pPr>
              <w:pStyle w:val="NormalWeb"/>
              <w:spacing w:after="240" w:afterAutospacing="0"/>
            </w:pPr>
            <w:r>
              <w:t>150</w:t>
            </w:r>
          </w:p>
        </w:tc>
      </w:tr>
      <w:tr w:rsidR="004B7F2F" w14:paraId="32B1E384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DF5D6F" w14:textId="77777777" w:rsidR="004B7F2F" w:rsidRDefault="004B7F2F">
            <w:pPr>
              <w:pStyle w:val="NormalWeb"/>
              <w:spacing w:after="240" w:afterAutospacing="0"/>
            </w:pPr>
            <w:r>
              <w:t>Titre alcalimétrique (T.A.) °f</w:t>
            </w:r>
          </w:p>
        </w:tc>
        <w:tc>
          <w:tcPr>
            <w:tcW w:w="0" w:type="auto"/>
            <w:vAlign w:val="center"/>
            <w:hideMark/>
          </w:tcPr>
          <w:p w14:paraId="15107053" w14:textId="77777777" w:rsidR="004B7F2F" w:rsidRDefault="004B7F2F">
            <w:pPr>
              <w:pStyle w:val="NormalWeb"/>
              <w:spacing w:after="240" w:afterAutospacing="0"/>
            </w:pPr>
            <w:r>
              <w:t>500</w:t>
            </w:r>
          </w:p>
        </w:tc>
      </w:tr>
      <w:tr w:rsidR="004B7F2F" w14:paraId="75E190CE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D71FDBE" w14:textId="77777777" w:rsidR="004B7F2F" w:rsidRDefault="004B7F2F">
            <w:pPr>
              <w:pStyle w:val="NormalWeb"/>
              <w:spacing w:after="240" w:afterAutospacing="0"/>
            </w:pPr>
            <w:r>
              <w:t>Titre alcalimétrique complet (T.A.C.) °f</w:t>
            </w:r>
          </w:p>
        </w:tc>
        <w:tc>
          <w:tcPr>
            <w:tcW w:w="0" w:type="auto"/>
            <w:vAlign w:val="center"/>
            <w:hideMark/>
          </w:tcPr>
          <w:p w14:paraId="4920441B" w14:textId="77777777" w:rsidR="004B7F2F" w:rsidRDefault="004B7F2F">
            <w:pPr>
              <w:pStyle w:val="NormalWeb"/>
              <w:spacing w:after="240" w:afterAutospacing="0"/>
            </w:pPr>
            <w:r>
              <w:t>100</w:t>
            </w:r>
          </w:p>
        </w:tc>
      </w:tr>
      <w:tr w:rsidR="004B7F2F" w14:paraId="4A43F3EA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97D163C" w14:textId="77777777" w:rsidR="004B7F2F" w:rsidRDefault="004B7F2F">
            <w:pPr>
              <w:pStyle w:val="NormalWeb"/>
              <w:spacing w:after="240" w:afterAutospacing="0"/>
            </w:pPr>
            <w:r>
              <w:t>Phosphore total</w:t>
            </w:r>
          </w:p>
        </w:tc>
        <w:tc>
          <w:tcPr>
            <w:tcW w:w="0" w:type="auto"/>
            <w:vAlign w:val="center"/>
            <w:hideMark/>
          </w:tcPr>
          <w:p w14:paraId="7ECAEF1C" w14:textId="77777777" w:rsidR="004B7F2F" w:rsidRDefault="004B7F2F">
            <w:pPr>
              <w:pStyle w:val="NormalWeb"/>
              <w:spacing w:after="240" w:afterAutospacing="0"/>
            </w:pPr>
            <w:r>
              <w:t>2,5</w:t>
            </w:r>
          </w:p>
        </w:tc>
      </w:tr>
      <w:tr w:rsidR="004B7F2F" w14:paraId="37EC2B03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BF143D5" w14:textId="77777777" w:rsidR="004B7F2F" w:rsidRDefault="004B7F2F">
            <w:pPr>
              <w:pStyle w:val="NormalWeb"/>
              <w:spacing w:after="240" w:afterAutospacing="0"/>
            </w:pPr>
            <w:r>
              <w:t>Potassium</w:t>
            </w:r>
          </w:p>
        </w:tc>
        <w:tc>
          <w:tcPr>
            <w:tcW w:w="0" w:type="auto"/>
            <w:vAlign w:val="center"/>
            <w:hideMark/>
          </w:tcPr>
          <w:p w14:paraId="61C40477" w14:textId="77777777" w:rsidR="004B7F2F" w:rsidRDefault="004B7F2F">
            <w:pPr>
              <w:pStyle w:val="NormalWeb"/>
              <w:spacing w:after="240" w:afterAutospacing="0"/>
            </w:pPr>
            <w:r>
              <w:t>25</w:t>
            </w:r>
          </w:p>
        </w:tc>
      </w:tr>
      <w:tr w:rsidR="004B7F2F" w14:paraId="069F3086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3AED80" w14:textId="77777777" w:rsidR="004B7F2F" w:rsidRDefault="004B7F2F">
            <w:pPr>
              <w:pStyle w:val="NormalWeb"/>
              <w:spacing w:after="240" w:afterAutospacing="0"/>
            </w:pPr>
            <w:r>
              <w:t>Magnésium</w:t>
            </w:r>
          </w:p>
        </w:tc>
        <w:tc>
          <w:tcPr>
            <w:tcW w:w="0" w:type="auto"/>
            <w:vAlign w:val="center"/>
            <w:hideMark/>
          </w:tcPr>
          <w:p w14:paraId="41B6386B" w14:textId="77777777" w:rsidR="004B7F2F" w:rsidRDefault="004B7F2F">
            <w:pPr>
              <w:pStyle w:val="NormalWeb"/>
              <w:spacing w:after="240" w:afterAutospacing="0"/>
            </w:pPr>
            <w:r>
              <w:t>50</w:t>
            </w:r>
          </w:p>
        </w:tc>
      </w:tr>
      <w:tr w:rsidR="004B7F2F" w14:paraId="089EF595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153B61" w14:textId="77777777" w:rsidR="004B7F2F" w:rsidRDefault="004B7F2F">
            <w:pPr>
              <w:pStyle w:val="NormalWeb"/>
              <w:spacing w:after="240" w:afterAutospacing="0"/>
            </w:pPr>
            <w:r>
              <w:t>Calcium</w:t>
            </w:r>
          </w:p>
        </w:tc>
        <w:tc>
          <w:tcPr>
            <w:tcW w:w="0" w:type="auto"/>
            <w:vAlign w:val="center"/>
            <w:hideMark/>
          </w:tcPr>
          <w:p w14:paraId="5D93C2A4" w14:textId="77777777" w:rsidR="004B7F2F" w:rsidRDefault="004B7F2F">
            <w:pPr>
              <w:pStyle w:val="NormalWeb"/>
              <w:spacing w:after="240" w:afterAutospacing="0"/>
            </w:pPr>
            <w:r>
              <w:t>350</w:t>
            </w:r>
          </w:p>
        </w:tc>
      </w:tr>
      <w:tr w:rsidR="004B7F2F" w14:paraId="569B8F03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400D19" w14:textId="77777777" w:rsidR="004B7F2F" w:rsidRDefault="004B7F2F">
            <w:pPr>
              <w:pStyle w:val="NormalWeb"/>
              <w:spacing w:after="240" w:afterAutospacing="0"/>
            </w:pPr>
            <w:r>
              <w:lastRenderedPageBreak/>
              <w:t>Sodium</w:t>
            </w:r>
          </w:p>
        </w:tc>
        <w:tc>
          <w:tcPr>
            <w:tcW w:w="0" w:type="auto"/>
            <w:vAlign w:val="center"/>
            <w:hideMark/>
          </w:tcPr>
          <w:p w14:paraId="15436C39" w14:textId="77777777" w:rsidR="004B7F2F" w:rsidRDefault="004B7F2F">
            <w:pPr>
              <w:pStyle w:val="NormalWeb"/>
              <w:spacing w:after="240" w:afterAutospacing="0"/>
            </w:pPr>
            <w:r>
              <w:t>100</w:t>
            </w:r>
          </w:p>
        </w:tc>
      </w:tr>
      <w:tr w:rsidR="004B7F2F" w14:paraId="7C476EE2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CA4ACC" w14:textId="77777777" w:rsidR="004B7F2F" w:rsidRDefault="004B7F2F">
            <w:pPr>
              <w:pStyle w:val="NormalWeb"/>
              <w:spacing w:after="240" w:afterAutospacing="0"/>
            </w:pPr>
            <w:proofErr w:type="spellStart"/>
            <w:r>
              <w:t>Orthophosphates</w:t>
            </w:r>
            <w:proofErr w:type="spellEnd"/>
            <w:r>
              <w:t xml:space="preserve"> (PO4)</w:t>
            </w:r>
          </w:p>
        </w:tc>
        <w:tc>
          <w:tcPr>
            <w:tcW w:w="0" w:type="auto"/>
            <w:vAlign w:val="center"/>
            <w:hideMark/>
          </w:tcPr>
          <w:p w14:paraId="73A42C61" w14:textId="77777777" w:rsidR="004B7F2F" w:rsidRDefault="004B7F2F">
            <w:pPr>
              <w:pStyle w:val="NormalWeb"/>
              <w:spacing w:after="240" w:afterAutospacing="0"/>
            </w:pPr>
            <w:r>
              <w:t>20</w:t>
            </w:r>
          </w:p>
        </w:tc>
      </w:tr>
      <w:tr w:rsidR="004B7F2F" w14:paraId="67CB856D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75D8CC" w14:textId="77777777" w:rsidR="004B7F2F" w:rsidRDefault="004B7F2F">
            <w:pPr>
              <w:pStyle w:val="NormalWeb"/>
              <w:spacing w:after="240" w:afterAutospacing="0"/>
            </w:pPr>
            <w:r>
              <w:t>Oxydabilité au KMnO4 à froid en milieu acide</w:t>
            </w:r>
          </w:p>
        </w:tc>
        <w:tc>
          <w:tcPr>
            <w:tcW w:w="0" w:type="auto"/>
            <w:vAlign w:val="center"/>
            <w:hideMark/>
          </w:tcPr>
          <w:p w14:paraId="530AFE53" w14:textId="77777777" w:rsidR="004B7F2F" w:rsidRDefault="004B7F2F">
            <w:pPr>
              <w:pStyle w:val="NormalWeb"/>
              <w:spacing w:after="240" w:afterAutospacing="0"/>
            </w:pPr>
            <w:r>
              <w:t>25</w:t>
            </w:r>
          </w:p>
        </w:tc>
      </w:tr>
      <w:tr w:rsidR="004B7F2F" w14:paraId="2AF74EF9" w14:textId="77777777" w:rsidTr="004B7F2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CA872F" w14:textId="77777777" w:rsidR="004B7F2F" w:rsidRDefault="004B7F2F">
            <w:pPr>
              <w:pStyle w:val="NormalWeb"/>
              <w:spacing w:after="240" w:afterAutospacing="0"/>
            </w:pPr>
            <w:r>
              <w:t>Carbone Organique</w:t>
            </w:r>
          </w:p>
        </w:tc>
        <w:tc>
          <w:tcPr>
            <w:tcW w:w="0" w:type="auto"/>
            <w:vAlign w:val="center"/>
            <w:hideMark/>
          </w:tcPr>
          <w:p w14:paraId="45B0CEB8" w14:textId="77777777" w:rsidR="004B7F2F" w:rsidRDefault="004B7F2F">
            <w:pPr>
              <w:pStyle w:val="NormalWeb"/>
              <w:spacing w:after="240" w:afterAutospacing="0"/>
            </w:pPr>
            <w:r>
              <w:t>40</w:t>
            </w:r>
          </w:p>
        </w:tc>
      </w:tr>
    </w:tbl>
    <w:p w14:paraId="685211FC" w14:textId="77777777" w:rsidR="007529D2" w:rsidRDefault="007529D2" w:rsidP="007529D2">
      <w:pPr>
        <w:tabs>
          <w:tab w:val="left" w:pos="748"/>
        </w:tabs>
        <w:spacing w:before="120"/>
        <w:rPr>
          <w:rFonts w:ascii="Arial" w:hAnsi="Arial"/>
          <w:sz w:val="20"/>
          <w:szCs w:val="20"/>
        </w:rPr>
      </w:pPr>
    </w:p>
    <w:sectPr w:rsidR="007529D2" w:rsidSect="00554624">
      <w:footerReference w:type="default" r:id="rId8"/>
      <w:pgSz w:w="11906" w:h="16838" w:code="9"/>
      <w:pgMar w:top="964" w:right="964" w:bottom="964" w:left="96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DFC00" w14:textId="77777777" w:rsidR="00F97C60" w:rsidRDefault="00F97C60">
      <w:r>
        <w:separator/>
      </w:r>
    </w:p>
  </w:endnote>
  <w:endnote w:type="continuationSeparator" w:id="0">
    <w:p w14:paraId="26385758" w14:textId="77777777" w:rsidR="00F97C60" w:rsidRDefault="00F9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F085B" w14:textId="77777777" w:rsidR="008339D7" w:rsidRPr="008D5907" w:rsidRDefault="008339D7" w:rsidP="008339D7">
    <w:pPr>
      <w:pStyle w:val="Pieddepage"/>
      <w:jc w:val="center"/>
      <w:rPr>
        <w:rFonts w:ascii="Arial" w:hAnsi="Arial"/>
        <w:sz w:val="20"/>
        <w:szCs w:val="20"/>
      </w:rPr>
    </w:pPr>
    <w:r w:rsidRPr="008D5907">
      <w:rPr>
        <w:rStyle w:val="Numrodepage"/>
        <w:rFonts w:ascii="Arial" w:hAnsi="Arial"/>
        <w:sz w:val="20"/>
        <w:szCs w:val="20"/>
      </w:rPr>
      <w:fldChar w:fldCharType="begin"/>
    </w:r>
    <w:r w:rsidRPr="008D5907">
      <w:rPr>
        <w:rStyle w:val="Numrodepage"/>
        <w:rFonts w:ascii="Arial" w:hAnsi="Arial"/>
        <w:sz w:val="20"/>
        <w:szCs w:val="20"/>
      </w:rPr>
      <w:instrText xml:space="preserve"> PAGE </w:instrText>
    </w:r>
    <w:r w:rsidRPr="008D5907">
      <w:rPr>
        <w:rStyle w:val="Numrodepage"/>
        <w:rFonts w:ascii="Arial" w:hAnsi="Arial"/>
        <w:sz w:val="20"/>
        <w:szCs w:val="20"/>
      </w:rPr>
      <w:fldChar w:fldCharType="separate"/>
    </w:r>
    <w:r w:rsidR="000D0BF7">
      <w:rPr>
        <w:rStyle w:val="Numrodepage"/>
        <w:rFonts w:ascii="Arial" w:hAnsi="Arial"/>
        <w:noProof/>
        <w:sz w:val="20"/>
        <w:szCs w:val="20"/>
      </w:rPr>
      <w:t>2</w:t>
    </w:r>
    <w:r w:rsidRPr="008D5907">
      <w:rPr>
        <w:rStyle w:val="Numrodepage"/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D9286" w14:textId="77777777" w:rsidR="00F97C60" w:rsidRDefault="00F97C60">
      <w:r>
        <w:separator/>
      </w:r>
    </w:p>
  </w:footnote>
  <w:footnote w:type="continuationSeparator" w:id="0">
    <w:p w14:paraId="216F26AD" w14:textId="77777777" w:rsidR="00F97C60" w:rsidRDefault="00F97C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55B7"/>
    <w:multiLevelType w:val="hybridMultilevel"/>
    <w:tmpl w:val="2DFA2B12"/>
    <w:lvl w:ilvl="0" w:tplc="0A9EB4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47C3"/>
    <w:multiLevelType w:val="hybridMultilevel"/>
    <w:tmpl w:val="B4942EAA"/>
    <w:lvl w:ilvl="0" w:tplc="CB54C9E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095520762">
    <w:abstractNumId w:val="1"/>
  </w:num>
  <w:num w:numId="2" w16cid:durableId="185502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E2D"/>
    <w:rsid w:val="00003777"/>
    <w:rsid w:val="00004CA5"/>
    <w:rsid w:val="000124AE"/>
    <w:rsid w:val="00013AC9"/>
    <w:rsid w:val="000229CF"/>
    <w:rsid w:val="00034470"/>
    <w:rsid w:val="000A1D86"/>
    <w:rsid w:val="000A6143"/>
    <w:rsid w:val="000D0BF7"/>
    <w:rsid w:val="000D1E7E"/>
    <w:rsid w:val="000F2BCC"/>
    <w:rsid w:val="000F534B"/>
    <w:rsid w:val="000F7C57"/>
    <w:rsid w:val="00153E99"/>
    <w:rsid w:val="00155E70"/>
    <w:rsid w:val="001B0729"/>
    <w:rsid w:val="001E0B6E"/>
    <w:rsid w:val="001E5492"/>
    <w:rsid w:val="00265C37"/>
    <w:rsid w:val="00267DED"/>
    <w:rsid w:val="00271015"/>
    <w:rsid w:val="00291F39"/>
    <w:rsid w:val="002C7E2D"/>
    <w:rsid w:val="00304D4F"/>
    <w:rsid w:val="00312727"/>
    <w:rsid w:val="003272C8"/>
    <w:rsid w:val="0033329B"/>
    <w:rsid w:val="00376F68"/>
    <w:rsid w:val="003819AF"/>
    <w:rsid w:val="00382884"/>
    <w:rsid w:val="003A4745"/>
    <w:rsid w:val="003B409C"/>
    <w:rsid w:val="003B4410"/>
    <w:rsid w:val="003C0FCF"/>
    <w:rsid w:val="003C2241"/>
    <w:rsid w:val="003C4ECA"/>
    <w:rsid w:val="003C6E03"/>
    <w:rsid w:val="004069FB"/>
    <w:rsid w:val="00472971"/>
    <w:rsid w:val="00493F65"/>
    <w:rsid w:val="00495AD9"/>
    <w:rsid w:val="004A51D8"/>
    <w:rsid w:val="004B7F2F"/>
    <w:rsid w:val="004D1C0F"/>
    <w:rsid w:val="004D44CA"/>
    <w:rsid w:val="004E6FD8"/>
    <w:rsid w:val="00500DE0"/>
    <w:rsid w:val="00542713"/>
    <w:rsid w:val="00554624"/>
    <w:rsid w:val="00555388"/>
    <w:rsid w:val="00595149"/>
    <w:rsid w:val="005A1065"/>
    <w:rsid w:val="005B02E1"/>
    <w:rsid w:val="005B7780"/>
    <w:rsid w:val="005E09FD"/>
    <w:rsid w:val="005F7021"/>
    <w:rsid w:val="00647421"/>
    <w:rsid w:val="006743AC"/>
    <w:rsid w:val="006816D8"/>
    <w:rsid w:val="00695CA3"/>
    <w:rsid w:val="006B127C"/>
    <w:rsid w:val="006E01D3"/>
    <w:rsid w:val="006E644B"/>
    <w:rsid w:val="006F2F6C"/>
    <w:rsid w:val="007259D8"/>
    <w:rsid w:val="00726A3E"/>
    <w:rsid w:val="007529D2"/>
    <w:rsid w:val="007875D6"/>
    <w:rsid w:val="00795CBC"/>
    <w:rsid w:val="007A5FAA"/>
    <w:rsid w:val="007B5F33"/>
    <w:rsid w:val="007B72ED"/>
    <w:rsid w:val="00814D87"/>
    <w:rsid w:val="008339D7"/>
    <w:rsid w:val="00836D28"/>
    <w:rsid w:val="00852A88"/>
    <w:rsid w:val="00883FD3"/>
    <w:rsid w:val="00891722"/>
    <w:rsid w:val="008A16DB"/>
    <w:rsid w:val="008A7E2E"/>
    <w:rsid w:val="008D5907"/>
    <w:rsid w:val="00960E43"/>
    <w:rsid w:val="00972ADC"/>
    <w:rsid w:val="009A0533"/>
    <w:rsid w:val="00A21D68"/>
    <w:rsid w:val="00A50535"/>
    <w:rsid w:val="00A63643"/>
    <w:rsid w:val="00A702FC"/>
    <w:rsid w:val="00A75E28"/>
    <w:rsid w:val="00A77A2E"/>
    <w:rsid w:val="00A80A17"/>
    <w:rsid w:val="00AA0DAC"/>
    <w:rsid w:val="00AE1084"/>
    <w:rsid w:val="00AF5704"/>
    <w:rsid w:val="00B139FE"/>
    <w:rsid w:val="00B32445"/>
    <w:rsid w:val="00B5029C"/>
    <w:rsid w:val="00B5566B"/>
    <w:rsid w:val="00B93FA2"/>
    <w:rsid w:val="00BA3212"/>
    <w:rsid w:val="00C03811"/>
    <w:rsid w:val="00CA72E5"/>
    <w:rsid w:val="00D10F5A"/>
    <w:rsid w:val="00D805A1"/>
    <w:rsid w:val="00DA63FB"/>
    <w:rsid w:val="00DD198E"/>
    <w:rsid w:val="00E25CB3"/>
    <w:rsid w:val="00E37874"/>
    <w:rsid w:val="00E4498C"/>
    <w:rsid w:val="00E45327"/>
    <w:rsid w:val="00EC6A96"/>
    <w:rsid w:val="00ED6B38"/>
    <w:rsid w:val="00EE62EB"/>
    <w:rsid w:val="00F31E0F"/>
    <w:rsid w:val="00F42443"/>
    <w:rsid w:val="00F47325"/>
    <w:rsid w:val="00F530FB"/>
    <w:rsid w:val="00F61DE7"/>
    <w:rsid w:val="00F90098"/>
    <w:rsid w:val="00F97C60"/>
    <w:rsid w:val="00FD5F5C"/>
    <w:rsid w:val="00FF4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9F5FA"/>
  <w15:docId w15:val="{C364FECB-7E7D-41EE-AF48-FC4370BCC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42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AE1084"/>
    <w:rPr>
      <w:rFonts w:ascii="Tahoma" w:hAnsi="Tahoma"/>
      <w:sz w:val="16"/>
      <w:szCs w:val="16"/>
    </w:rPr>
  </w:style>
  <w:style w:type="paragraph" w:styleId="En-tte">
    <w:name w:val="header"/>
    <w:basedOn w:val="Normal"/>
    <w:rsid w:val="008339D7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339D7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339D7"/>
  </w:style>
  <w:style w:type="paragraph" w:styleId="NormalWeb">
    <w:name w:val="Normal (Web)"/>
    <w:basedOn w:val="Normal"/>
    <w:uiPriority w:val="99"/>
    <w:semiHidden/>
    <w:unhideWhenUsed/>
    <w:rsid w:val="004B7F2F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4B7F2F"/>
    <w:rPr>
      <w:b/>
      <w:bCs/>
    </w:rPr>
  </w:style>
  <w:style w:type="paragraph" w:styleId="Rvision">
    <w:name w:val="Revision"/>
    <w:hidden/>
    <w:uiPriority w:val="99"/>
    <w:semiHidden/>
    <w:rsid w:val="00D805A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A0DAC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8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770</Words>
  <Characters>3819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</vt:lpstr>
    </vt:vector>
  </TitlesOfParts>
  <Company>AELB</Company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</dc:title>
  <dc:creator>MAURIN Sandrine</dc:creator>
  <cp:lastModifiedBy>DORSO Gael</cp:lastModifiedBy>
  <cp:revision>5</cp:revision>
  <cp:lastPrinted>2008-04-03T16:27:00Z</cp:lastPrinted>
  <dcterms:created xsi:type="dcterms:W3CDTF">2023-11-23T09:33:00Z</dcterms:created>
  <dcterms:modified xsi:type="dcterms:W3CDTF">2025-03-28T10:21:00Z</dcterms:modified>
</cp:coreProperties>
</file>